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24D45F89"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4A2E00">
        <w:rPr>
          <w:b w:val="0"/>
          <w:i/>
          <w:iCs/>
          <w:sz w:val="22"/>
          <w:szCs w:val="22"/>
        </w:rPr>
        <w:t>Greystones Preschool on 01.09.2021</w:t>
      </w:r>
    </w:p>
    <w:p w14:paraId="3BB8D078" w14:textId="17C96D77"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4A2E00">
        <w:rPr>
          <w:rFonts w:ascii="Arial" w:hAnsi="Arial" w:cs="Arial"/>
        </w:rPr>
        <w:t>Julie Benson</w:t>
      </w:r>
    </w:p>
    <w:p w14:paraId="35D2CDD8" w14:textId="434E63A9"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4A2E00">
        <w:rPr>
          <w:rFonts w:ascii="Arial" w:hAnsi="Arial" w:cs="Arial"/>
        </w:rPr>
        <w:t>Ruth Merry</w:t>
      </w:r>
      <w:bookmarkStart w:id="0" w:name="_GoBack"/>
      <w:bookmarkEnd w:id="0"/>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56D32" w14:textId="77777777" w:rsidR="00BE7EEC" w:rsidRDefault="00BE7EEC" w:rsidP="00E07382">
      <w:r>
        <w:separator/>
      </w:r>
    </w:p>
  </w:endnote>
  <w:endnote w:type="continuationSeparator" w:id="0">
    <w:p w14:paraId="2167F3F7" w14:textId="77777777" w:rsidR="00BE7EEC" w:rsidRDefault="00BE7EEC" w:rsidP="00E07382">
      <w:r>
        <w:continuationSeparator/>
      </w:r>
    </w:p>
  </w:endnote>
  <w:endnote w:type="continuationNotice" w:id="1">
    <w:p w14:paraId="27F91363" w14:textId="77777777" w:rsidR="00BE7EEC" w:rsidRDefault="00BE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DA51B" w14:textId="77777777" w:rsidR="00BE7EEC" w:rsidRDefault="00BE7EEC" w:rsidP="00E07382">
      <w:r>
        <w:separator/>
      </w:r>
    </w:p>
  </w:footnote>
  <w:footnote w:type="continuationSeparator" w:id="0">
    <w:p w14:paraId="52C4974B" w14:textId="77777777" w:rsidR="00BE7EEC" w:rsidRDefault="00BE7EEC" w:rsidP="00E07382">
      <w:r>
        <w:continuationSeparator/>
      </w:r>
    </w:p>
  </w:footnote>
  <w:footnote w:type="continuationNotice" w:id="1">
    <w:p w14:paraId="4EBE1B63" w14:textId="77777777" w:rsidR="00BE7EEC" w:rsidRDefault="00BE7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E00"/>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E7EEC"/>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7769EF-93E5-4D29-BE72-2CD70F12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caroline</cp:lastModifiedBy>
  <cp:revision>2</cp:revision>
  <cp:lastPrinted>2011-11-21T12:20:00Z</cp:lastPrinted>
  <dcterms:created xsi:type="dcterms:W3CDTF">2022-07-05T21:53:00Z</dcterms:created>
  <dcterms:modified xsi:type="dcterms:W3CDTF">2022-07-05T21:53:00Z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